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7FCF6045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1AD29C8" w14:textId="6686443E" w:rsidR="00BC7468" w:rsidRDefault="00BC7468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13 Manipulating Genomes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3D9C8B43" w:rsidR="008E39B4" w:rsidRPr="00811F13" w:rsidRDefault="009A5BB1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619537C" wp14:editId="66FCB9AA">
                  <wp:extent cx="1403479" cy="6286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38" cy="632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A7549E1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Amplification</w:t>
            </w:r>
          </w:p>
          <w:p w14:paraId="60A029FB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Annealing</w:t>
            </w:r>
          </w:p>
          <w:p w14:paraId="7B777BF0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complementary DNA</w:t>
            </w:r>
          </w:p>
          <w:p w14:paraId="31DAACC3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 xml:space="preserve">DNA fingerprinting </w:t>
            </w:r>
          </w:p>
          <w:p w14:paraId="2D227102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DNA hybridisation</w:t>
            </w:r>
          </w:p>
          <w:p w14:paraId="1D562E19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DNA ligase</w:t>
            </w:r>
          </w:p>
          <w:p w14:paraId="0E333CCB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DNA ligase</w:t>
            </w:r>
          </w:p>
          <w:p w14:paraId="5EAFE4B4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DNA polymerase</w:t>
            </w:r>
          </w:p>
          <w:p w14:paraId="1CE5A6A2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DNA sequencing</w:t>
            </w:r>
          </w:p>
          <w:p w14:paraId="31365524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Gel electrophoresis</w:t>
            </w:r>
          </w:p>
          <w:p w14:paraId="0C6D1A14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 cloning</w:t>
            </w:r>
          </w:p>
          <w:p w14:paraId="508E1621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 marker</w:t>
            </w:r>
          </w:p>
          <w:p w14:paraId="75F3D7E9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Gene probe</w:t>
            </w:r>
          </w:p>
          <w:p w14:paraId="26AF0360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 therapy</w:t>
            </w:r>
          </w:p>
          <w:p w14:paraId="23214BEC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Genetic screening</w:t>
            </w:r>
          </w:p>
          <w:p w14:paraId="4F6A729A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Genome</w:t>
            </w:r>
          </w:p>
          <w:p w14:paraId="41BB5DEE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Hydrogen bond</w:t>
            </w:r>
          </w:p>
          <w:p w14:paraId="4C0F4116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in vitro cloning</w:t>
            </w:r>
          </w:p>
          <w:p w14:paraId="0040C9BB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 xml:space="preserve">in vivo cloning: </w:t>
            </w:r>
          </w:p>
          <w:p w14:paraId="5087AB27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Microsatellite</w:t>
            </w:r>
          </w:p>
          <w:p w14:paraId="7FBDD50D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Palindrome</w:t>
            </w:r>
          </w:p>
          <w:p w14:paraId="30A352CD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PCR (polymerase chain reaction)</w:t>
            </w:r>
          </w:p>
          <w:p w14:paraId="04AC5EB7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Personalised medicine</w:t>
            </w:r>
          </w:p>
          <w:p w14:paraId="63BA3698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Plasmid</w:t>
            </w:r>
          </w:p>
          <w:p w14:paraId="79CD542F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Primers</w:t>
            </w:r>
          </w:p>
          <w:p w14:paraId="55238FA6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Proteome</w:t>
            </w:r>
          </w:p>
          <w:p w14:paraId="504AC7D1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Recognition site</w:t>
            </w:r>
          </w:p>
          <w:p w14:paraId="5FE08812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Recombinant DNA</w:t>
            </w:r>
          </w:p>
          <w:p w14:paraId="43D11100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 xml:space="preserve"> Restriction endonuclease</w:t>
            </w:r>
          </w:p>
          <w:p w14:paraId="46860D82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Restriction mapping</w:t>
            </w:r>
          </w:p>
          <w:p w14:paraId="1FC10C45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Reverse transcriptase</w:t>
            </w:r>
          </w:p>
          <w:p w14:paraId="4C0076F3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Reverse transcription</w:t>
            </w:r>
          </w:p>
          <w:p w14:paraId="48E037D8" w14:textId="77777777" w:rsidR="00843102" w:rsidRPr="00811F13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Sticky ends</w:t>
            </w:r>
          </w:p>
          <w:p w14:paraId="5CCB4510" w14:textId="77777777" w:rsidR="00843102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Transformation</w:t>
            </w:r>
          </w:p>
          <w:p w14:paraId="49147324" w14:textId="7D2570B8" w:rsidR="009F1971" w:rsidRPr="00811F13" w:rsidRDefault="00843102" w:rsidP="0084310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F1A17"/>
                <w:sz w:val="22"/>
                <w:szCs w:val="22"/>
              </w:rPr>
              <w:t>Vector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849F5EA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principles of DNA sequencing and the development of new DNA sequencing techniques</w:t>
            </w:r>
          </w:p>
          <w:p w14:paraId="7D8A02BC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How gene sequencing has allowed for genome-wide comparisons between individuals and between species</w:t>
            </w:r>
          </w:p>
          <w:p w14:paraId="165D5B71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How gene sequencing has allowed for the sequences of amino acids in polypeptides to be predicted</w:t>
            </w:r>
          </w:p>
          <w:p w14:paraId="17655855" w14:textId="77777777" w:rsidR="00317685" w:rsidRPr="00317685" w:rsidRDefault="00317685" w:rsidP="0035184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How gene sequencing has allowed for the development of synthetic biology</w:t>
            </w:r>
          </w:p>
          <w:p w14:paraId="03BA53EE" w14:textId="77777777" w:rsidR="00317685" w:rsidRPr="00317685" w:rsidRDefault="00317685" w:rsidP="0035184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principles of DNA profiling and its uses</w:t>
            </w:r>
          </w:p>
          <w:p w14:paraId="7C2AEB3F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principles of the polymerase chain reaction (PCR) and its application in DNA analysis</w:t>
            </w:r>
          </w:p>
          <w:p w14:paraId="276859AD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principles and uses of electrophoresis for separating nucleic acid fragments or proteins</w:t>
            </w:r>
          </w:p>
          <w:p w14:paraId="17AD824F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principles of, and techniques used in, genetic engineering</w:t>
            </w:r>
          </w:p>
          <w:p w14:paraId="60AFF578" w14:textId="77777777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ethical issues (both positive and negative) relating to the genetic manipulation of animals (including humans), plants and microorganisms</w:t>
            </w:r>
          </w:p>
          <w:p w14:paraId="3EC6EE10" w14:textId="47F36D2B" w:rsidR="00317685" w:rsidRPr="00317685" w:rsidRDefault="00317685" w:rsidP="0031768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7685">
              <w:rPr>
                <w:sz w:val="20"/>
                <w:szCs w:val="20"/>
              </w:rPr>
              <w:t>The principles of, and potential for, gene therapy in medicine</w:t>
            </w:r>
          </w:p>
          <w:p w14:paraId="039E33D7" w14:textId="77777777" w:rsidR="00317685" w:rsidRDefault="00317685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65A3AF52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1B017BC8" w14:textId="77777777" w:rsidR="000F4307" w:rsidRDefault="000F4307" w:rsidP="000F4307">
            <w:r>
              <w:t xml:space="preserve">Agriculture   </w:t>
            </w:r>
            <w:proofErr w:type="gramStart"/>
            <w:r>
              <w:t>Audiology  Biochemistry</w:t>
            </w:r>
            <w:proofErr w:type="gramEnd"/>
            <w:r>
              <w:t xml:space="preserve">  Biotechnology  Brewing  Dentistry  Dietetics  Ecology  Environmental Health  Environmental science  Fisheries Work  Food Science  Forensics  Horticulture  Laboratory Work  Marine Biology  Medicine  Nursing  Occupational Therapy  </w:t>
            </w:r>
            <w:proofErr w:type="spellStart"/>
            <w:r>
              <w:t>Opthalmics</w:t>
            </w:r>
            <w:proofErr w:type="spellEnd"/>
            <w:r>
              <w:t xml:space="preserve"> and Orthoptics  Paramedical Science  Pharmacology  Physiotherapy  Prosthetics and Orthotics  Psychiatry  Radiography  Speech Therapy  Sports Science  Teaching  Veterinary Work  Zoology</w:t>
            </w:r>
          </w:p>
          <w:p w14:paraId="5389D413" w14:textId="77777777" w:rsidR="000F4307" w:rsidRPr="00351843" w:rsidRDefault="000F4307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002EA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A8B6C" w14:textId="77777777" w:rsidR="008002EA" w:rsidRDefault="008002EA" w:rsidP="00017B74">
      <w:pPr>
        <w:spacing w:after="0" w:line="240" w:lineRule="auto"/>
      </w:pPr>
      <w:r>
        <w:separator/>
      </w:r>
    </w:p>
  </w:endnote>
  <w:endnote w:type="continuationSeparator" w:id="0">
    <w:p w14:paraId="282FF9BF" w14:textId="77777777" w:rsidR="008002EA" w:rsidRDefault="008002E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BE46" w14:textId="77777777" w:rsidR="008002EA" w:rsidRDefault="008002EA" w:rsidP="00017B74">
      <w:pPr>
        <w:spacing w:after="0" w:line="240" w:lineRule="auto"/>
      </w:pPr>
      <w:r>
        <w:separator/>
      </w:r>
    </w:p>
  </w:footnote>
  <w:footnote w:type="continuationSeparator" w:id="0">
    <w:p w14:paraId="4C871F70" w14:textId="77777777" w:rsidR="008002EA" w:rsidRDefault="008002E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500D1B"/>
    <w:multiLevelType w:val="hybridMultilevel"/>
    <w:tmpl w:val="D996E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D6C87"/>
    <w:rsid w:val="000F4307"/>
    <w:rsid w:val="002005F6"/>
    <w:rsid w:val="00227ECC"/>
    <w:rsid w:val="00245FA1"/>
    <w:rsid w:val="002B0167"/>
    <w:rsid w:val="00317685"/>
    <w:rsid w:val="00351843"/>
    <w:rsid w:val="003616E3"/>
    <w:rsid w:val="00396141"/>
    <w:rsid w:val="003D3C0A"/>
    <w:rsid w:val="003E6B6F"/>
    <w:rsid w:val="00440E6C"/>
    <w:rsid w:val="00487E07"/>
    <w:rsid w:val="004C3F18"/>
    <w:rsid w:val="004C534E"/>
    <w:rsid w:val="00530FB1"/>
    <w:rsid w:val="005949E3"/>
    <w:rsid w:val="005F2B3F"/>
    <w:rsid w:val="005F4E99"/>
    <w:rsid w:val="007146EF"/>
    <w:rsid w:val="007812DF"/>
    <w:rsid w:val="008002EA"/>
    <w:rsid w:val="00811F13"/>
    <w:rsid w:val="0083335D"/>
    <w:rsid w:val="00843102"/>
    <w:rsid w:val="00847F4E"/>
    <w:rsid w:val="00867D25"/>
    <w:rsid w:val="008B1952"/>
    <w:rsid w:val="008E39B4"/>
    <w:rsid w:val="009A5BB1"/>
    <w:rsid w:val="009A7682"/>
    <w:rsid w:val="009F1971"/>
    <w:rsid w:val="00A0065C"/>
    <w:rsid w:val="00A01B24"/>
    <w:rsid w:val="00A23F48"/>
    <w:rsid w:val="00A314F1"/>
    <w:rsid w:val="00B16723"/>
    <w:rsid w:val="00BA166B"/>
    <w:rsid w:val="00BA646E"/>
    <w:rsid w:val="00BC7468"/>
    <w:rsid w:val="00C83FDD"/>
    <w:rsid w:val="00C94AF5"/>
    <w:rsid w:val="00CA59AB"/>
    <w:rsid w:val="00CC3584"/>
    <w:rsid w:val="00D047DD"/>
    <w:rsid w:val="00DB0006"/>
    <w:rsid w:val="00DC23A5"/>
    <w:rsid w:val="00E5371A"/>
    <w:rsid w:val="00E96772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84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3102"/>
  </w:style>
  <w:style w:type="character" w:customStyle="1" w:styleId="eop">
    <w:name w:val="eop"/>
    <w:basedOn w:val="DefaultParagraphFont"/>
    <w:rsid w:val="0084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8656-8B17-4E09-86A9-DDD65E89F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7</cp:revision>
  <cp:lastPrinted>2022-05-09T09:04:00Z</cp:lastPrinted>
  <dcterms:created xsi:type="dcterms:W3CDTF">2022-06-16T11:03:00Z</dcterms:created>
  <dcterms:modified xsi:type="dcterms:W3CDTF">2022-06-22T13:23:00Z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